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jc w:val="center"/>
        <w:rPr>
          <w:rFonts w:ascii="Times New Roman" w:eastAsia="Times New Roman" w:hAnsi="Times New Roman" w:cs="Times New Roman"/>
          <w:sz w:val="24"/>
          <w:szCs w:val="24"/>
        </w:rPr>
      </w:pPr>
    </w:p>
    <w:p w:rsidR="00BC4259" w:rsidRDefault="00BC4259" w:rsidP="00BC4259">
      <w:pPr>
        <w:spacing w:line="480" w:lineRule="auto"/>
        <w:jc w:val="center"/>
        <w:rPr>
          <w:rFonts w:ascii="Times New Roman" w:eastAsia="Times New Roman" w:hAnsi="Times New Roman" w:cs="Times New Roman"/>
          <w:sz w:val="24"/>
          <w:szCs w:val="24"/>
        </w:rPr>
      </w:pPr>
    </w:p>
    <w:p w:rsidR="00BC4259" w:rsidRDefault="00BC4259" w:rsidP="00BC4259">
      <w:pPr>
        <w:spacing w:line="480" w:lineRule="auto"/>
        <w:jc w:val="center"/>
        <w:rPr>
          <w:rFonts w:ascii="Times New Roman" w:eastAsia="Times New Roman" w:hAnsi="Times New Roman" w:cs="Times New Roman"/>
          <w:sz w:val="24"/>
          <w:szCs w:val="24"/>
        </w:rPr>
      </w:pPr>
    </w:p>
    <w:p w:rsidR="00BC4259" w:rsidRPr="00BC4259" w:rsidRDefault="00BC4259" w:rsidP="00BC4259">
      <w:pPr>
        <w:spacing w:line="480" w:lineRule="auto"/>
        <w:jc w:val="center"/>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t>Part 1: Module 3</w:t>
      </w:r>
    </w:p>
    <w:p w:rsidR="00BC4259" w:rsidRDefault="00BC4259" w:rsidP="00BC42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C4259" w:rsidRDefault="00BC4259" w:rsidP="00BC42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BC4259" w:rsidRDefault="00BC4259" w:rsidP="00BC42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BC4259" w:rsidRDefault="00BC4259" w:rsidP="00BC4259">
      <w:pPr>
        <w:spacing w:line="480" w:lineRule="auto"/>
        <w:rPr>
          <w:rFonts w:ascii="Times New Roman" w:eastAsia="Times New Roman" w:hAnsi="Times New Roman" w:cs="Times New Roman"/>
          <w:sz w:val="24"/>
          <w:szCs w:val="24"/>
        </w:rPr>
      </w:pPr>
    </w:p>
    <w:p w:rsidR="001D0D8A" w:rsidRPr="00BC4259" w:rsidRDefault="001D0D8A" w:rsidP="00BC4259">
      <w:pPr>
        <w:spacing w:line="480" w:lineRule="auto"/>
        <w:jc w:val="center"/>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lastRenderedPageBreak/>
        <w:t>Part 1: Module 3</w:t>
      </w:r>
    </w:p>
    <w:p w:rsidR="001D0D8A" w:rsidRPr="00BC4259" w:rsidRDefault="001D0D8A" w:rsidP="00BC4259">
      <w:pPr>
        <w:pStyle w:val="ListParagraph"/>
        <w:numPr>
          <w:ilvl w:val="0"/>
          <w:numId w:val="3"/>
        </w:numPr>
        <w:spacing w:line="480" w:lineRule="auto"/>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t>Discuss how the IDEA of 2004 changed the transition mandate in terms of:</w:t>
      </w:r>
    </w:p>
    <w:p w:rsidR="001D0D8A" w:rsidRPr="00BC4259" w:rsidRDefault="001D0D8A" w:rsidP="00BC4259">
      <w:pPr>
        <w:pStyle w:val="ListParagraph"/>
        <w:numPr>
          <w:ilvl w:val="0"/>
          <w:numId w:val="4"/>
        </w:numPr>
        <w:spacing w:line="480" w:lineRule="auto"/>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t>Postsecondary transition goals</w:t>
      </w:r>
    </w:p>
    <w:p w:rsidR="001D0D8A" w:rsidRPr="001D0D8A" w:rsidRDefault="001D0D8A" w:rsidP="00BC4259">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In regard to postsecondary transition goals, the IDEA of 2004 made it a requirement for the education departments at the state level to follow and report the postsecondary results for students with learning disabilities (Flexer et al., 2012). To assess the postsecondary goals of students with disabilities, OSEP established indicator 14 that comprises the percentage of postsecondary IEPs youth employed or attending any postsecondary training a year after graduating from secondary education. In addition, the IDEA of 2004 made it a requirement that the postsecondary goals of disabled students should be measured, and their postsecondary results are reported.</w:t>
      </w:r>
    </w:p>
    <w:p w:rsidR="001D0D8A" w:rsidRPr="00BC4259" w:rsidRDefault="001D0D8A" w:rsidP="00BC4259">
      <w:pPr>
        <w:pStyle w:val="ListParagraph"/>
        <w:numPr>
          <w:ilvl w:val="0"/>
          <w:numId w:val="4"/>
        </w:numPr>
        <w:spacing w:line="480" w:lineRule="auto"/>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t>Accountability for students' postsecondary transition goals</w:t>
      </w:r>
    </w:p>
    <w:p w:rsidR="001D0D8A" w:rsidRPr="001D0D8A" w:rsidRDefault="001D0D8A" w:rsidP="00BC4259">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In regard to the accountability of the postsecondary goals of students, the focus was primarily on two outcomes: competitive employment and higher education enrollment (Flexer et al., 2012). The accountability requirement for competitive employment holds that the pay for competitive postsecondary disabled students should be at or beyond the minimum salary in an environment setting whose other employees are not disabled. Postsecondary students are also held accountable if they enroll in higher learning institutions after postsecondary education. The enrollment in a higher learning institution may either be a part-time or regular basis, and they must have fully completed one or more terms. </w:t>
      </w:r>
    </w:p>
    <w:p w:rsidR="001D0D8A" w:rsidRPr="00BC4259" w:rsidRDefault="001D0D8A" w:rsidP="00BC4259">
      <w:pPr>
        <w:pStyle w:val="ListParagraph"/>
        <w:numPr>
          <w:ilvl w:val="0"/>
          <w:numId w:val="4"/>
        </w:numPr>
        <w:spacing w:line="480" w:lineRule="auto"/>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t>The timeline for starting transition planning</w:t>
      </w:r>
    </w:p>
    <w:p w:rsidR="001D0D8A" w:rsidRPr="001D0D8A" w:rsidRDefault="001D0D8A" w:rsidP="00BC4259">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lastRenderedPageBreak/>
        <w:t xml:space="preserve">The IDEA of 2004 also increased the timeline for beginning transition planning from age 14 to 16. Initially, the IDEA of 1997 required transition planning to begin by age 14 (Flexer et al., 2012). However, the literature review hints that only 35 percent of the states have heeded the requirement given by the IDEA of 2004 (Flexer et al., 2012). Generally, the majority of the state departments of education require transition planning to commence at 15 years or before. </w:t>
      </w: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BC4259" w:rsidRDefault="00BC4259" w:rsidP="00BC4259">
      <w:pPr>
        <w:spacing w:line="480" w:lineRule="auto"/>
        <w:jc w:val="center"/>
        <w:rPr>
          <w:rFonts w:ascii="Times New Roman" w:eastAsia="Times New Roman" w:hAnsi="Times New Roman" w:cs="Times New Roman"/>
          <w:b/>
          <w:sz w:val="24"/>
          <w:szCs w:val="24"/>
        </w:rPr>
      </w:pPr>
    </w:p>
    <w:p w:rsidR="001D0D8A" w:rsidRPr="00BC4259" w:rsidRDefault="001D0D8A" w:rsidP="00BC4259">
      <w:pPr>
        <w:spacing w:line="480" w:lineRule="auto"/>
        <w:jc w:val="center"/>
        <w:rPr>
          <w:rFonts w:ascii="Times New Roman" w:eastAsia="Times New Roman" w:hAnsi="Times New Roman" w:cs="Times New Roman"/>
          <w:b/>
          <w:sz w:val="24"/>
          <w:szCs w:val="24"/>
        </w:rPr>
      </w:pPr>
      <w:r w:rsidRPr="00BC4259">
        <w:rPr>
          <w:rFonts w:ascii="Times New Roman" w:eastAsia="Times New Roman" w:hAnsi="Times New Roman" w:cs="Times New Roman"/>
          <w:b/>
          <w:sz w:val="24"/>
          <w:szCs w:val="24"/>
        </w:rPr>
        <w:lastRenderedPageBreak/>
        <w:t>Reference</w:t>
      </w:r>
    </w:p>
    <w:p w:rsidR="001D0D8A" w:rsidRPr="001D0D8A" w:rsidRDefault="001D0D8A" w:rsidP="00BC4259">
      <w:pPr>
        <w:spacing w:line="480" w:lineRule="auto"/>
        <w:ind w:left="720" w:hanging="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Flexer, R. W., Baer, R. M., Luft, P. J., </w:t>
      </w:r>
      <w:bookmarkStart w:id="0" w:name="_GoBack"/>
      <w:bookmarkEnd w:id="0"/>
      <w:r w:rsidRPr="001D0D8A">
        <w:rPr>
          <w:rFonts w:ascii="Times New Roman" w:eastAsia="Times New Roman" w:hAnsi="Times New Roman" w:cs="Times New Roman"/>
          <w:sz w:val="24"/>
          <w:szCs w:val="24"/>
        </w:rPr>
        <w:t xml:space="preserve">&amp; Simmons, T. J. (2012). </w:t>
      </w:r>
      <w:r w:rsidRPr="00BC4259">
        <w:rPr>
          <w:rFonts w:ascii="Times New Roman" w:eastAsia="Times New Roman" w:hAnsi="Times New Roman" w:cs="Times New Roman"/>
          <w:i/>
          <w:sz w:val="24"/>
          <w:szCs w:val="24"/>
        </w:rPr>
        <w:t>Transition planning for secondary students with disabilities</w:t>
      </w:r>
      <w:r w:rsidRPr="001D0D8A">
        <w:rPr>
          <w:rFonts w:ascii="Times New Roman" w:eastAsia="Times New Roman" w:hAnsi="Times New Roman" w:cs="Times New Roman"/>
          <w:sz w:val="24"/>
          <w:szCs w:val="24"/>
        </w:rPr>
        <w:t>. Pearson.</w:t>
      </w:r>
    </w:p>
    <w:p w:rsidR="00B35F6E" w:rsidRPr="001D0D8A" w:rsidRDefault="00B35F6E" w:rsidP="00BC4259">
      <w:pPr>
        <w:spacing w:line="480" w:lineRule="auto"/>
      </w:pPr>
    </w:p>
    <w:sectPr w:rsidR="00B35F6E" w:rsidRPr="001D0D8A" w:rsidSect="00BC4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A3A" w:rsidRDefault="002E4A3A" w:rsidP="00BC4259">
      <w:pPr>
        <w:spacing w:after="0" w:line="240" w:lineRule="auto"/>
      </w:pPr>
      <w:r>
        <w:separator/>
      </w:r>
    </w:p>
  </w:endnote>
  <w:endnote w:type="continuationSeparator" w:id="1">
    <w:p w:rsidR="002E4A3A" w:rsidRDefault="002E4A3A" w:rsidP="00BC4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A3A" w:rsidRDefault="002E4A3A" w:rsidP="00BC4259">
      <w:pPr>
        <w:spacing w:after="0" w:line="240" w:lineRule="auto"/>
      </w:pPr>
      <w:r>
        <w:separator/>
      </w:r>
    </w:p>
  </w:footnote>
  <w:footnote w:type="continuationSeparator" w:id="1">
    <w:p w:rsidR="002E4A3A" w:rsidRDefault="002E4A3A" w:rsidP="00BC4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59" w:rsidRPr="00BC4259" w:rsidRDefault="00BC4259">
    <w:pPr>
      <w:pStyle w:val="Header"/>
      <w:rPr>
        <w:rFonts w:ascii="Times New Roman" w:hAnsi="Times New Roman" w:cs="Times New Roman"/>
        <w:sz w:val="24"/>
        <w:szCs w:val="24"/>
      </w:rPr>
    </w:pPr>
    <w:r w:rsidRPr="00BC4259">
      <w:rPr>
        <w:rFonts w:ascii="Times New Roman" w:hAnsi="Times New Roman" w:cs="Times New Roman"/>
        <w:sz w:val="24"/>
        <w:szCs w:val="24"/>
      </w:rPr>
      <w:t>PART 1: MODULE 3</w:t>
    </w:r>
    <w:r w:rsidRPr="00BC4259">
      <w:rPr>
        <w:rFonts w:ascii="Times New Roman" w:hAnsi="Times New Roman" w:cs="Times New Roman"/>
        <w:sz w:val="24"/>
        <w:szCs w:val="24"/>
      </w:rPr>
      <w:tab/>
    </w:r>
    <w:r w:rsidRPr="00BC4259">
      <w:rPr>
        <w:rFonts w:ascii="Times New Roman" w:hAnsi="Times New Roman" w:cs="Times New Roman"/>
        <w:sz w:val="24"/>
        <w:szCs w:val="24"/>
      </w:rPr>
      <w:tab/>
    </w:r>
    <w:r w:rsidR="001F02B6" w:rsidRPr="00BC4259">
      <w:rPr>
        <w:rFonts w:ascii="Times New Roman" w:hAnsi="Times New Roman" w:cs="Times New Roman"/>
        <w:sz w:val="24"/>
        <w:szCs w:val="24"/>
      </w:rPr>
      <w:fldChar w:fldCharType="begin"/>
    </w:r>
    <w:r w:rsidRPr="00BC4259">
      <w:rPr>
        <w:rFonts w:ascii="Times New Roman" w:hAnsi="Times New Roman" w:cs="Times New Roman"/>
        <w:sz w:val="24"/>
        <w:szCs w:val="24"/>
      </w:rPr>
      <w:instrText xml:space="preserve"> PAGE   \* MERGEFORMAT </w:instrText>
    </w:r>
    <w:r w:rsidR="001F02B6" w:rsidRPr="00BC4259">
      <w:rPr>
        <w:rFonts w:ascii="Times New Roman" w:hAnsi="Times New Roman" w:cs="Times New Roman"/>
        <w:sz w:val="24"/>
        <w:szCs w:val="24"/>
      </w:rPr>
      <w:fldChar w:fldCharType="separate"/>
    </w:r>
    <w:r w:rsidR="00516EB0">
      <w:rPr>
        <w:rFonts w:ascii="Times New Roman" w:hAnsi="Times New Roman" w:cs="Times New Roman"/>
        <w:noProof/>
        <w:sz w:val="24"/>
        <w:szCs w:val="24"/>
      </w:rPr>
      <w:t>4</w:t>
    </w:r>
    <w:r w:rsidR="001F02B6" w:rsidRPr="00BC4259">
      <w:rPr>
        <w:rFonts w:ascii="Times New Roman" w:hAnsi="Times New Roman" w:cs="Times New Roman"/>
        <w:noProof/>
        <w:sz w:val="24"/>
        <w:szCs w:val="24"/>
      </w:rPr>
      <w:fldChar w:fldCharType="end"/>
    </w:r>
  </w:p>
  <w:p w:rsidR="00BC4259" w:rsidRDefault="00BC42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59" w:rsidRPr="00BC4259" w:rsidRDefault="00BC4259">
    <w:pPr>
      <w:pStyle w:val="Header"/>
      <w:rPr>
        <w:rFonts w:ascii="Times New Roman" w:hAnsi="Times New Roman" w:cs="Times New Roman"/>
        <w:sz w:val="24"/>
        <w:szCs w:val="24"/>
      </w:rPr>
    </w:pPr>
    <w:r w:rsidRPr="00BC4259">
      <w:rPr>
        <w:rFonts w:ascii="Times New Roman" w:hAnsi="Times New Roman" w:cs="Times New Roman"/>
        <w:sz w:val="24"/>
        <w:szCs w:val="24"/>
      </w:rPr>
      <w:t>PART 1: MODULE 3</w:t>
    </w:r>
    <w:r w:rsidRPr="00BC4259">
      <w:rPr>
        <w:rFonts w:ascii="Times New Roman" w:hAnsi="Times New Roman" w:cs="Times New Roman"/>
        <w:sz w:val="24"/>
        <w:szCs w:val="24"/>
      </w:rPr>
      <w:tab/>
    </w:r>
    <w:r w:rsidRPr="00BC4259">
      <w:rPr>
        <w:rFonts w:ascii="Times New Roman" w:hAnsi="Times New Roman" w:cs="Times New Roman"/>
        <w:sz w:val="24"/>
        <w:szCs w:val="24"/>
      </w:rPr>
      <w:tab/>
    </w:r>
    <w:r w:rsidR="001F02B6" w:rsidRPr="00BC4259">
      <w:rPr>
        <w:rFonts w:ascii="Times New Roman" w:hAnsi="Times New Roman" w:cs="Times New Roman"/>
        <w:sz w:val="24"/>
        <w:szCs w:val="24"/>
      </w:rPr>
      <w:fldChar w:fldCharType="begin"/>
    </w:r>
    <w:r w:rsidRPr="00BC4259">
      <w:rPr>
        <w:rFonts w:ascii="Times New Roman" w:hAnsi="Times New Roman" w:cs="Times New Roman"/>
        <w:sz w:val="24"/>
        <w:szCs w:val="24"/>
      </w:rPr>
      <w:instrText xml:space="preserve"> PAGE   \* MERGEFORMAT </w:instrText>
    </w:r>
    <w:r w:rsidR="001F02B6" w:rsidRPr="00BC4259">
      <w:rPr>
        <w:rFonts w:ascii="Times New Roman" w:hAnsi="Times New Roman" w:cs="Times New Roman"/>
        <w:sz w:val="24"/>
        <w:szCs w:val="24"/>
      </w:rPr>
      <w:fldChar w:fldCharType="separate"/>
    </w:r>
    <w:r w:rsidR="00516EB0">
      <w:rPr>
        <w:rFonts w:ascii="Times New Roman" w:hAnsi="Times New Roman" w:cs="Times New Roman"/>
        <w:noProof/>
        <w:sz w:val="24"/>
        <w:szCs w:val="24"/>
      </w:rPr>
      <w:t>1</w:t>
    </w:r>
    <w:r w:rsidR="001F02B6" w:rsidRPr="00BC4259">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715D9"/>
    <w:multiLevelType w:val="hybridMultilevel"/>
    <w:tmpl w:val="578AD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C371BF"/>
    <w:multiLevelType w:val="hybridMultilevel"/>
    <w:tmpl w:val="D6B0B4FE"/>
    <w:lvl w:ilvl="0" w:tplc="101074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577A94"/>
    <w:multiLevelType w:val="hybridMultilevel"/>
    <w:tmpl w:val="80049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6C6F46"/>
    <w:multiLevelType w:val="hybridMultilevel"/>
    <w:tmpl w:val="16AE62C8"/>
    <w:lvl w:ilvl="0" w:tplc="7E3C63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D2C"/>
    <w:rsid w:val="000B72B9"/>
    <w:rsid w:val="00162127"/>
    <w:rsid w:val="001D0D8A"/>
    <w:rsid w:val="001D5794"/>
    <w:rsid w:val="001F02B6"/>
    <w:rsid w:val="00203FC7"/>
    <w:rsid w:val="002E4A3A"/>
    <w:rsid w:val="00304905"/>
    <w:rsid w:val="00330967"/>
    <w:rsid w:val="0047262B"/>
    <w:rsid w:val="004A64A5"/>
    <w:rsid w:val="004D4D2C"/>
    <w:rsid w:val="00516EB0"/>
    <w:rsid w:val="00537700"/>
    <w:rsid w:val="00596ADC"/>
    <w:rsid w:val="005A1B9C"/>
    <w:rsid w:val="005B0C9D"/>
    <w:rsid w:val="005C3D80"/>
    <w:rsid w:val="006579CE"/>
    <w:rsid w:val="0071585B"/>
    <w:rsid w:val="007832E9"/>
    <w:rsid w:val="007F0822"/>
    <w:rsid w:val="008013FA"/>
    <w:rsid w:val="0081330D"/>
    <w:rsid w:val="008843FD"/>
    <w:rsid w:val="00890B64"/>
    <w:rsid w:val="009533DE"/>
    <w:rsid w:val="00A001DF"/>
    <w:rsid w:val="00A60B05"/>
    <w:rsid w:val="00B35F6E"/>
    <w:rsid w:val="00B805CB"/>
    <w:rsid w:val="00B9557A"/>
    <w:rsid w:val="00BC4259"/>
    <w:rsid w:val="00C2535F"/>
    <w:rsid w:val="00C61DF6"/>
    <w:rsid w:val="00C76CC9"/>
    <w:rsid w:val="00C94C23"/>
    <w:rsid w:val="00CB53E9"/>
    <w:rsid w:val="00D60156"/>
    <w:rsid w:val="00DA1337"/>
    <w:rsid w:val="00DA4B90"/>
    <w:rsid w:val="00DC3CAE"/>
    <w:rsid w:val="00DF3B97"/>
    <w:rsid w:val="00E16D6C"/>
    <w:rsid w:val="00E31B4C"/>
    <w:rsid w:val="00E3763A"/>
    <w:rsid w:val="00E61B26"/>
    <w:rsid w:val="00E67F44"/>
    <w:rsid w:val="00E74A47"/>
    <w:rsid w:val="00EE0994"/>
    <w:rsid w:val="00EF0F42"/>
    <w:rsid w:val="00F901DB"/>
    <w:rsid w:val="00FA6C46"/>
    <w:rsid w:val="00FC35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2B6"/>
  </w:style>
  <w:style w:type="paragraph" w:styleId="Heading1">
    <w:name w:val="heading 1"/>
    <w:basedOn w:val="Normal"/>
    <w:link w:val="Heading1Char"/>
    <w:uiPriority w:val="9"/>
    <w:qFormat/>
    <w:rsid w:val="00E67F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F6E"/>
    <w:pPr>
      <w:ind w:left="720"/>
      <w:contextualSpacing/>
    </w:pPr>
  </w:style>
  <w:style w:type="character" w:customStyle="1" w:styleId="Heading1Char">
    <w:name w:val="Heading 1 Char"/>
    <w:basedOn w:val="DefaultParagraphFont"/>
    <w:link w:val="Heading1"/>
    <w:uiPriority w:val="9"/>
    <w:rsid w:val="00E67F4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C3CAE"/>
    <w:rPr>
      <w:color w:val="0000FF" w:themeColor="hyperlink"/>
      <w:u w:val="single"/>
    </w:rPr>
  </w:style>
  <w:style w:type="paragraph" w:styleId="Header">
    <w:name w:val="header"/>
    <w:basedOn w:val="Normal"/>
    <w:link w:val="HeaderChar"/>
    <w:uiPriority w:val="99"/>
    <w:unhideWhenUsed/>
    <w:rsid w:val="00BC4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259"/>
  </w:style>
  <w:style w:type="paragraph" w:styleId="Footer">
    <w:name w:val="footer"/>
    <w:basedOn w:val="Normal"/>
    <w:link w:val="FooterChar"/>
    <w:uiPriority w:val="99"/>
    <w:unhideWhenUsed/>
    <w:rsid w:val="00BC4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259"/>
  </w:style>
  <w:style w:type="paragraph" w:styleId="BalloonText">
    <w:name w:val="Balloon Text"/>
    <w:basedOn w:val="Normal"/>
    <w:link w:val="BalloonTextChar"/>
    <w:uiPriority w:val="99"/>
    <w:semiHidden/>
    <w:unhideWhenUsed/>
    <w:rsid w:val="00BC4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2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67F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F6E"/>
    <w:pPr>
      <w:ind w:left="720"/>
      <w:contextualSpacing/>
    </w:pPr>
  </w:style>
  <w:style w:type="character" w:customStyle="1" w:styleId="Heading1Char">
    <w:name w:val="Heading 1 Char"/>
    <w:basedOn w:val="DefaultParagraphFont"/>
    <w:link w:val="Heading1"/>
    <w:uiPriority w:val="9"/>
    <w:rsid w:val="00E67F4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C3CAE"/>
    <w:rPr>
      <w:color w:val="0000FF" w:themeColor="hyperlink"/>
      <w:u w:val="single"/>
    </w:rPr>
  </w:style>
  <w:style w:type="paragraph" w:styleId="Header">
    <w:name w:val="header"/>
    <w:basedOn w:val="Normal"/>
    <w:link w:val="HeaderChar"/>
    <w:uiPriority w:val="99"/>
    <w:unhideWhenUsed/>
    <w:rsid w:val="00BC4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259"/>
  </w:style>
  <w:style w:type="paragraph" w:styleId="Footer">
    <w:name w:val="footer"/>
    <w:basedOn w:val="Normal"/>
    <w:link w:val="FooterChar"/>
    <w:uiPriority w:val="99"/>
    <w:unhideWhenUsed/>
    <w:rsid w:val="00BC4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259"/>
  </w:style>
  <w:style w:type="paragraph" w:styleId="BalloonText">
    <w:name w:val="Balloon Text"/>
    <w:basedOn w:val="Normal"/>
    <w:link w:val="BalloonTextChar"/>
    <w:uiPriority w:val="99"/>
    <w:semiHidden/>
    <w:unhideWhenUsed/>
    <w:rsid w:val="00BC4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2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7440047">
      <w:bodyDiv w:val="1"/>
      <w:marLeft w:val="0"/>
      <w:marRight w:val="0"/>
      <w:marTop w:val="0"/>
      <w:marBottom w:val="0"/>
      <w:divBdr>
        <w:top w:val="none" w:sz="0" w:space="0" w:color="auto"/>
        <w:left w:val="none" w:sz="0" w:space="0" w:color="auto"/>
        <w:bottom w:val="none" w:sz="0" w:space="0" w:color="auto"/>
        <w:right w:val="none" w:sz="0" w:space="0" w:color="auto"/>
      </w:divBdr>
      <w:divsChild>
        <w:div w:id="1196502391">
          <w:marLeft w:val="0"/>
          <w:marRight w:val="0"/>
          <w:marTop w:val="0"/>
          <w:marBottom w:val="0"/>
          <w:divBdr>
            <w:top w:val="none" w:sz="0" w:space="0" w:color="auto"/>
            <w:left w:val="none" w:sz="0" w:space="0" w:color="auto"/>
            <w:bottom w:val="none" w:sz="0" w:space="0" w:color="auto"/>
            <w:right w:val="none" w:sz="0" w:space="0" w:color="auto"/>
          </w:divBdr>
        </w:div>
      </w:divsChild>
    </w:div>
    <w:div w:id="191169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2020-11-06T06:46:00Z</dcterms:created>
  <dcterms:modified xsi:type="dcterms:W3CDTF">2020-11-06T06:46:00Z</dcterms:modified>
</cp:coreProperties>
</file>